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572"/>
        <w:rPr/>
      </w:pPr>
      <w:r w:rsidDel="00000000" w:rsidR="00000000" w:rsidRPr="00000000">
        <w:rPr>
          <w:color w:val="2f5495"/>
          <w:rtl w:val="0"/>
        </w:rPr>
        <w:t xml:space="preserve">Your Rights and Protections Against Surprise Medical Bills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6087855" cy="978010"/>
                <wp:effectExtent b="0" l="0" r="0" t="0"/>
                <wp:wrapTopAndBottom distB="0" distT="0"/>
                <wp:docPr id="1" name=""/>
                <a:graphic>
                  <a:graphicData uri="http://schemas.microsoft.com/office/word/2010/wordprocessingShape">
                    <wps:wsp>
                      <wps:cNvSpPr/>
                      <wps:cNvPr id="2" name="Shape 2"/>
                      <wps:spPr>
                        <a:xfrm>
                          <a:off x="2308160" y="3297083"/>
                          <a:ext cx="6075680" cy="965835"/>
                        </a:xfrm>
                        <a:prstGeom prst="rect">
                          <a:avLst/>
                        </a:prstGeom>
                        <a:noFill/>
                        <a:ln cap="flat" cmpd="sng" w="121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5" w:line="254.00001525878906"/>
                              <w:ind w:left="93.99999618530273" w:right="133.00000190734863" w:firstLine="93.99999618530273"/>
                              <w:jc w:val="left"/>
                              <w:textDirection w:val="btLr"/>
                            </w:pPr>
                            <w:r w:rsidDel="00000000" w:rsidR="00000000" w:rsidRPr="00000000">
                              <w:rPr>
                                <w:rFonts w:ascii="Calibri" w:cs="Calibri" w:eastAsia="Calibri" w:hAnsi="Calibri"/>
                                <w:b w:val="0"/>
                                <w:i w:val="0"/>
                                <w:smallCaps w:val="0"/>
                                <w:strike w:val="0"/>
                                <w:color w:val="000000"/>
                                <w:sz w:val="29"/>
                                <w:vertAlign w:val="baseline"/>
                              </w:rPr>
                              <w:t xml:space="preserve">When you get emergency care or are treated by an out-of-network provider at an in-network hospital or ambulatory surgical center, you are protected from balance billing. In these cases, you </w:t>
                            </w:r>
                            <w:r w:rsidDel="00000000" w:rsidR="00000000" w:rsidRPr="00000000">
                              <w:rPr>
                                <w:rFonts w:ascii="Calibri" w:cs="Calibri" w:eastAsia="Calibri" w:hAnsi="Calibri"/>
                                <w:b w:val="0"/>
                                <w:i w:val="0"/>
                                <w:smallCaps w:val="0"/>
                                <w:strike w:val="0"/>
                                <w:color w:val="000000"/>
                                <w:sz w:val="25"/>
                                <w:vertAlign w:val="baseline"/>
                              </w:rPr>
                              <w:t xml:space="preserve">shouldn’t </w:t>
                            </w:r>
                            <w:r w:rsidDel="00000000" w:rsidR="00000000" w:rsidRPr="00000000">
                              <w:rPr>
                                <w:rFonts w:ascii="Calibri" w:cs="Calibri" w:eastAsia="Calibri" w:hAnsi="Calibri"/>
                                <w:b w:val="0"/>
                                <w:i w:val="0"/>
                                <w:smallCaps w:val="0"/>
                                <w:strike w:val="0"/>
                                <w:color w:val="000000"/>
                                <w:sz w:val="29"/>
                                <w:vertAlign w:val="baseline"/>
                              </w:rPr>
                              <w:t xml:space="preserve">be charged more than your plan’s copayments, coinsurance and/or deductible.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6087855" cy="97801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87855" cy="97801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before="55" w:lineRule="auto"/>
        <w:ind w:firstLine="219"/>
        <w:rPr>
          <w:u w:val="none"/>
        </w:rPr>
      </w:pPr>
      <w:r w:rsidDel="00000000" w:rsidR="00000000" w:rsidRPr="00000000">
        <w:rPr>
          <w:rtl w:val="0"/>
        </w:rPr>
        <w:t xml:space="preserve">What is “balance billing” (sometimes called “surprise billing”)?</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219" w:right="2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see a doctor or other health care provider, you may owe certain </w:t>
      </w:r>
      <w:r w:rsidDel="00000000" w:rsidR="00000000" w:rsidRPr="00000000">
        <w:rPr>
          <w:rFonts w:ascii="Calibri" w:cs="Calibri" w:eastAsia="Calibri" w:hAnsi="Calibri"/>
          <w:b w:val="0"/>
          <w:i w:val="0"/>
          <w:smallCaps w:val="0"/>
          <w:strike w:val="0"/>
          <w:color w:val="0562c1"/>
          <w:sz w:val="24"/>
          <w:szCs w:val="24"/>
          <w:u w:val="single"/>
          <w:shd w:fill="auto" w:val="clear"/>
          <w:vertAlign w:val="baseline"/>
          <w:rtl w:val="0"/>
        </w:rPr>
        <w:t xml:space="preserve">out-of-pocket costs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like a </w:t>
      </w:r>
      <w:r w:rsidDel="00000000" w:rsidR="00000000" w:rsidRPr="00000000">
        <w:rPr>
          <w:rFonts w:ascii="Calibri" w:cs="Calibri" w:eastAsia="Calibri" w:hAnsi="Calibri"/>
          <w:b w:val="0"/>
          <w:i w:val="0"/>
          <w:smallCaps w:val="0"/>
          <w:strike w:val="0"/>
          <w:color w:val="0562c1"/>
          <w:sz w:val="24"/>
          <w:szCs w:val="24"/>
          <w:u w:val="single"/>
          <w:shd w:fill="auto" w:val="clear"/>
          <w:vertAlign w:val="baseline"/>
          <w:rtl w:val="0"/>
        </w:rPr>
        <w:t xml:space="preserve">copayment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2c1"/>
          <w:sz w:val="24"/>
          <w:szCs w:val="24"/>
          <w:u w:val="single"/>
          <w:shd w:fill="auto" w:val="clear"/>
          <w:vertAlign w:val="baseline"/>
          <w:rtl w:val="0"/>
        </w:rPr>
        <w:t xml:space="preserve">coinsurance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0562c1"/>
          <w:sz w:val="24"/>
          <w:szCs w:val="24"/>
          <w:u w:val="single"/>
          <w:shd w:fill="auto" w:val="clear"/>
          <w:vertAlign w:val="baseline"/>
          <w:rtl w:val="0"/>
        </w:rPr>
        <w:t xml:space="preserve">deductible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may have additional costs or have to pay the entire bill if you see a provider or visit a health care facility that isn’t in your health plan’s network.</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19" w:right="3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balance billing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amount is likely more than in-network costs for the same service and might not count toward your plan’s deductible or annual out-of-pocket limit.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7" w:right="338" w:firstLine="1.99999999999999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“Surprise billing” is an unexpected balance bill. This can happen when you can’t control who is involved in your care—like when you have an emergency or when you schedule a visit at an in- network facility but are unexpectedly treated by an out-of-network provider. Surprise medical bills could cost thousands of dollars depending on the procedure or service.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spacing w:before="1" w:lineRule="auto"/>
        <w:ind w:firstLine="219"/>
        <w:rPr>
          <w:color w:val="365e8e"/>
          <w:sz w:val="28"/>
          <w:szCs w:val="28"/>
          <w:u w:val="none"/>
        </w:rPr>
      </w:pPr>
      <w:r w:rsidDel="00000000" w:rsidR="00000000" w:rsidRPr="00000000">
        <w:rPr>
          <w:color w:val="365e8e"/>
          <w:sz w:val="28"/>
          <w:szCs w:val="28"/>
          <w:rtl w:val="0"/>
        </w:rPr>
        <w:t xml:space="preserve">You’re protected from balance billing for:</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spacing w:before="51" w:line="291" w:lineRule="auto"/>
        <w:ind w:firstLine="219"/>
        <w:rPr/>
      </w:pPr>
      <w:r w:rsidDel="00000000" w:rsidR="00000000" w:rsidRPr="00000000">
        <w:rPr>
          <w:rtl w:val="0"/>
        </w:rPr>
        <w:t xml:space="preserve">Emergency services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2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 emergency medical condition and get emergency services from an out-of- network provider or facility, the most they can bill you is your plan’s in-network cost-sharing amount (such as copayments, coinsurance, and deductibles). You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balance billed for these emergency services. This includes services you may get after you’re in stable condition unless you give written consent and give up your protections not to be balanced billed for these post-stabilization services.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spacing w:line="249" w:lineRule="auto"/>
        <w:ind w:left="219" w:right="313" w:firstLine="0"/>
        <w:rPr>
          <w:sz w:val="24"/>
          <w:szCs w:val="24"/>
        </w:rPr>
      </w:pPr>
      <w:r w:rsidDel="00000000" w:rsidR="00000000" w:rsidRPr="00000000">
        <w:rPr>
          <w:sz w:val="24"/>
          <w:szCs w:val="24"/>
          <w:rtl w:val="0"/>
        </w:rPr>
        <w:t xml:space="preserve">Additionally, Florida law protects patients with coverage through a Health Maintenance Organization (“HMO”) from balance billing for covered services, including emergency services, when the services are provided by an out-of-network provider.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2"/>
        <w:ind w:firstLine="219"/>
        <w:rPr/>
      </w:pPr>
      <w:r w:rsidDel="00000000" w:rsidR="00000000" w:rsidRPr="00000000">
        <w:rPr>
          <w:rtl w:val="0"/>
        </w:rPr>
        <w:t xml:space="preserve">Certain services at an in-network hospital or ambulatory surgical center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5" w:lineRule="auto"/>
        <w:ind w:left="217" w:right="338" w:firstLine="1.999999999999993"/>
        <w:jc w:val="left"/>
        <w:rPr>
          <w:rFonts w:ascii="Calibri" w:cs="Calibri" w:eastAsia="Calibri" w:hAnsi="Calibri"/>
          <w:b w:val="0"/>
          <w:i w:val="0"/>
          <w:smallCaps w:val="0"/>
          <w:strike w:val="0"/>
          <w:color w:val="000000"/>
          <w:sz w:val="24"/>
          <w:szCs w:val="24"/>
          <w:u w:val="none"/>
          <w:shd w:fill="auto" w:val="clear"/>
          <w:vertAlign w:val="baseline"/>
        </w:rPr>
        <w:sectPr>
          <w:pgSz w:h="15840" w:w="12240" w:orient="portrait"/>
          <w:pgMar w:bottom="280" w:top="1420" w:left="1220" w:right="1220" w:header="72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get services from an in-network hospital or ambulatory surgical center, certain providers there may be out-of-network. In these cases, the most those providers can bill you is your plan’s in-network cost-sharing amount. This applies to emergency medicine, anesthesia,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2" w:lineRule="auto"/>
        <w:ind w:left="219" w:right="23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pathology, radiology, laboratory, neonatology, assistant surgeon, hospitalist, or intensivist services. These providers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balance bill you and may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you to give up your protections not to be balance billed.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get other types of services at these in-network facilities, out-of-network providers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balance bill you unless you give written consent and give up your protections.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line="232" w:lineRule="auto"/>
        <w:ind w:left="220" w:right="274" w:firstLine="0"/>
        <w:jc w:val="both"/>
        <w:rPr>
          <w:b w:val="1"/>
          <w:sz w:val="29"/>
          <w:szCs w:val="29"/>
        </w:rPr>
      </w:pPr>
      <w:r w:rsidDel="00000000" w:rsidR="00000000" w:rsidRPr="00000000">
        <w:rPr>
          <w:b w:val="1"/>
          <w:sz w:val="29"/>
          <w:szCs w:val="29"/>
          <w:rtl w:val="0"/>
        </w:rPr>
        <w:t xml:space="preserve">You’re </w:t>
      </w:r>
      <w:r w:rsidDel="00000000" w:rsidR="00000000" w:rsidRPr="00000000">
        <w:rPr>
          <w:b w:val="1"/>
          <w:sz w:val="29"/>
          <w:szCs w:val="29"/>
          <w:u w:val="single"/>
          <w:rtl w:val="0"/>
        </w:rPr>
        <w:t xml:space="preserve">never</w:t>
      </w:r>
      <w:r w:rsidDel="00000000" w:rsidR="00000000" w:rsidRPr="00000000">
        <w:rPr>
          <w:b w:val="1"/>
          <w:sz w:val="29"/>
          <w:szCs w:val="29"/>
          <w:rtl w:val="0"/>
        </w:rPr>
        <w:t xml:space="preserve"> required to give up your protections from balance billing. You also aren’t required to get out-of-network care. You can choose a provider or facility in your plan’s network.</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C">
      <w:pPr>
        <w:spacing w:line="235" w:lineRule="auto"/>
        <w:ind w:left="219" w:right="315" w:firstLine="0"/>
        <w:rPr>
          <w:sz w:val="24"/>
          <w:szCs w:val="24"/>
        </w:rPr>
      </w:pPr>
      <w:r w:rsidDel="00000000" w:rsidR="00000000" w:rsidRPr="00000000">
        <w:rPr>
          <w:sz w:val="24"/>
          <w:szCs w:val="24"/>
          <w:rtl w:val="0"/>
        </w:rPr>
        <w:t xml:space="preserve">Additionally, Florida law also protects patients with coverage through Preferred Provider Organization (“PPO”) or an Exclusive Provider Organization (“EPO”) from balance billing for covered services provided at hospitals, urgent care centers or ambulatory care centers for (1) emergency services and (2) non-emergency services provided at an in-network facility by an out-of-network provider if the patient did not have the opportunity to choose an in-network provider. This protection only requires patients to pay their in-network cost sharing amounts.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ind w:firstLine="219"/>
        <w:rPr>
          <w:u w:val="none"/>
        </w:rPr>
      </w:pPr>
      <w:r w:rsidDel="00000000" w:rsidR="00000000" w:rsidRPr="00000000">
        <w:rPr>
          <w:rtl w:val="0"/>
        </w:rPr>
        <w:t xml:space="preserve">When balance billing isn’t allowed, you also have these protections: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35" w:lineRule="auto"/>
        <w:ind w:left="587" w:right="13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You’re only responsible for paying your share of the cost (like the copayments, coinsurance, and deductible that you would pay if the provider or facility was in-network). Your health plan will pay any additional costs to out-of-network providers and facilities directly.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64770" cy="64770"/>
                <wp:effectExtent b="0" l="0" r="0" t="0"/>
                <wp:wrapNone/>
                <wp:docPr id="3" name=""/>
                <a:graphic>
                  <a:graphicData uri="http://schemas.microsoft.com/office/word/2010/wordprocessingShape">
                    <wps:wsp>
                      <wps:cNvSpPr/>
                      <wps:cNvPr id="4" name="Shape 4"/>
                      <wps:spPr>
                        <a:xfrm>
                          <a:off x="5318378" y="3752378"/>
                          <a:ext cx="55245" cy="55245"/>
                        </a:xfrm>
                        <a:custGeom>
                          <a:rect b="b" l="l" r="r" t="t"/>
                          <a:pathLst>
                            <a:path extrusionOk="0" h="87" w="87">
                              <a:moveTo>
                                <a:pt x="55" y="86"/>
                              </a:moveTo>
                              <a:lnTo>
                                <a:pt x="31" y="86"/>
                              </a:lnTo>
                              <a:lnTo>
                                <a:pt x="22" y="81"/>
                              </a:lnTo>
                              <a:lnTo>
                                <a:pt x="5" y="64"/>
                              </a:lnTo>
                              <a:lnTo>
                                <a:pt x="0" y="55"/>
                              </a:lnTo>
                              <a:lnTo>
                                <a:pt x="0" y="31"/>
                              </a:lnTo>
                              <a:lnTo>
                                <a:pt x="5" y="19"/>
                              </a:lnTo>
                              <a:lnTo>
                                <a:pt x="22" y="2"/>
                              </a:lnTo>
                              <a:lnTo>
                                <a:pt x="31" y="0"/>
                              </a:lnTo>
                              <a:lnTo>
                                <a:pt x="55" y="0"/>
                              </a:lnTo>
                              <a:lnTo>
                                <a:pt x="65" y="2"/>
                              </a:lnTo>
                              <a:lnTo>
                                <a:pt x="74" y="12"/>
                              </a:lnTo>
                              <a:lnTo>
                                <a:pt x="82" y="19"/>
                              </a:lnTo>
                              <a:lnTo>
                                <a:pt x="86" y="31"/>
                              </a:lnTo>
                              <a:lnTo>
                                <a:pt x="86" y="55"/>
                              </a:lnTo>
                              <a:lnTo>
                                <a:pt x="82" y="64"/>
                              </a:lnTo>
                              <a:lnTo>
                                <a:pt x="65" y="81"/>
                              </a:lnTo>
                              <a:lnTo>
                                <a:pt x="55" y="86"/>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64770" cy="6477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4770" cy="64770"/>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5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Generally, your health plan must: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64770" cy="64770"/>
                <wp:effectExtent b="0" l="0" r="0" t="0"/>
                <wp:wrapNone/>
                <wp:docPr id="2" name=""/>
                <a:graphic>
                  <a:graphicData uri="http://schemas.microsoft.com/office/word/2010/wordprocessingShape">
                    <wps:wsp>
                      <wps:cNvSpPr/>
                      <wps:cNvPr id="3" name="Shape 3"/>
                      <wps:spPr>
                        <a:xfrm>
                          <a:off x="5318378" y="3752378"/>
                          <a:ext cx="55245" cy="55245"/>
                        </a:xfrm>
                        <a:custGeom>
                          <a:rect b="b" l="l" r="r" t="t"/>
                          <a:pathLst>
                            <a:path extrusionOk="0" h="87" w="87">
                              <a:moveTo>
                                <a:pt x="55" y="86"/>
                              </a:moveTo>
                              <a:lnTo>
                                <a:pt x="31" y="86"/>
                              </a:lnTo>
                              <a:lnTo>
                                <a:pt x="22" y="82"/>
                              </a:lnTo>
                              <a:lnTo>
                                <a:pt x="12" y="74"/>
                              </a:lnTo>
                              <a:lnTo>
                                <a:pt x="5" y="65"/>
                              </a:lnTo>
                              <a:lnTo>
                                <a:pt x="0" y="55"/>
                              </a:lnTo>
                              <a:lnTo>
                                <a:pt x="0" y="31"/>
                              </a:lnTo>
                              <a:lnTo>
                                <a:pt x="5" y="22"/>
                              </a:lnTo>
                              <a:lnTo>
                                <a:pt x="12" y="12"/>
                              </a:lnTo>
                              <a:lnTo>
                                <a:pt x="22" y="5"/>
                              </a:lnTo>
                              <a:lnTo>
                                <a:pt x="31" y="0"/>
                              </a:lnTo>
                              <a:lnTo>
                                <a:pt x="55" y="0"/>
                              </a:lnTo>
                              <a:lnTo>
                                <a:pt x="65" y="5"/>
                              </a:lnTo>
                              <a:lnTo>
                                <a:pt x="74" y="12"/>
                              </a:lnTo>
                              <a:lnTo>
                                <a:pt x="82" y="22"/>
                              </a:lnTo>
                              <a:lnTo>
                                <a:pt x="86" y="31"/>
                              </a:lnTo>
                              <a:lnTo>
                                <a:pt x="86" y="55"/>
                              </a:lnTo>
                              <a:lnTo>
                                <a:pt x="82" y="65"/>
                              </a:lnTo>
                              <a:lnTo>
                                <a:pt x="74" y="74"/>
                              </a:lnTo>
                              <a:lnTo>
                                <a:pt x="65" y="82"/>
                              </a:lnTo>
                              <a:lnTo>
                                <a:pt x="55" y="86"/>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64770" cy="6477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770" cy="64770"/>
                        </a:xfrm>
                        <a:prstGeom prst="rect"/>
                        <a:ln/>
                      </pic:spPr>
                    </pic:pic>
                  </a:graphicData>
                </a:graphic>
              </wp:anchor>
            </w:drawing>
          </mc:Fallback>
        </mc:AlternateConten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89"/>
        </w:tabs>
        <w:spacing w:after="0" w:before="108" w:line="240" w:lineRule="auto"/>
        <w:ind w:left="1388" w:right="747" w:hanging="353"/>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Cover emergency services without requiring you to get approval for services in advance (also known as “prior authorization”).</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89"/>
        </w:tabs>
        <w:spacing w:after="0" w:before="110" w:line="240" w:lineRule="auto"/>
        <w:ind w:left="1388" w:right="0" w:hanging="354.00000000000006"/>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Cover emergency services by out-of-network providers.</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89"/>
        </w:tabs>
        <w:spacing w:after="0" w:before="114" w:line="240" w:lineRule="auto"/>
        <w:ind w:left="1388" w:right="507" w:hanging="353"/>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 what you owe the provider or facility (cost-sharing) on what it would pay an in-network provider or facility and show that amount in your explanation of benefits.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89"/>
        </w:tabs>
        <w:spacing w:after="0" w:before="131" w:line="230" w:lineRule="auto"/>
        <w:ind w:left="1388" w:right="796" w:hanging="353"/>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 any amount you pay for emergency services or out-of-network services toward your in-network deductible and out-of-pocket limit.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8">
      <w:pPr>
        <w:spacing w:before="1" w:line="242" w:lineRule="auto"/>
        <w:ind w:left="219" w:right="608" w:firstLine="0"/>
        <w:rPr>
          <w:sz w:val="24"/>
          <w:szCs w:val="24"/>
        </w:rPr>
      </w:pPr>
      <w:r w:rsidDel="00000000" w:rsidR="00000000" w:rsidRPr="00000000">
        <w:rPr>
          <w:b w:val="1"/>
          <w:sz w:val="24"/>
          <w:szCs w:val="24"/>
          <w:rtl w:val="0"/>
        </w:rPr>
        <w:t xml:space="preserve">If you think you’ve been wrongly billed</w:t>
      </w:r>
      <w:r w:rsidDel="00000000" w:rsidR="00000000" w:rsidRPr="00000000">
        <w:rPr>
          <w:sz w:val="24"/>
          <w:szCs w:val="24"/>
          <w:rtl w:val="0"/>
        </w:rPr>
        <w:t xml:space="preserve">:</w:t>
      </w:r>
    </w:p>
    <w:p w:rsidR="00000000" w:rsidDel="00000000" w:rsidP="00000000" w:rsidRDefault="00000000" w:rsidRPr="00000000" w14:paraId="00000029">
      <w:pPr>
        <w:spacing w:before="1" w:line="242" w:lineRule="auto"/>
        <w:ind w:left="219" w:right="608" w:firstLine="0"/>
        <w:rPr>
          <w:sz w:val="24"/>
          <w:szCs w:val="24"/>
        </w:rPr>
      </w:pPr>
      <w:r w:rsidDel="00000000" w:rsidR="00000000" w:rsidRPr="00000000">
        <w:rPr>
          <w:sz w:val="24"/>
          <w:szCs w:val="24"/>
          <w:rtl w:val="0"/>
        </w:rPr>
        <w:t xml:space="preserve">Contact The U.S. Centers for Medicare &amp; Medicaid Services (CMS) at </w:t>
      </w:r>
      <w:r w:rsidDel="00000000" w:rsidR="00000000" w:rsidRPr="00000000">
        <w:rPr>
          <w:b w:val="1"/>
          <w:sz w:val="24"/>
          <w:szCs w:val="24"/>
          <w:rtl w:val="0"/>
        </w:rPr>
        <w:t xml:space="preserve">1-800-MEDICARE</w:t>
      </w:r>
      <w:r w:rsidDel="00000000" w:rsidR="00000000" w:rsidRPr="00000000">
        <w:rPr>
          <w:sz w:val="24"/>
          <w:szCs w:val="24"/>
          <w:rtl w:val="0"/>
        </w:rPr>
        <w:t xml:space="preserve"> (</w:t>
      </w:r>
      <w:hyperlink r:id="rId9">
        <w:r w:rsidDel="00000000" w:rsidR="00000000" w:rsidRPr="00000000">
          <w:rPr>
            <w:b w:val="1"/>
            <w:color w:val="0000ff"/>
            <w:sz w:val="24"/>
            <w:szCs w:val="24"/>
            <w:u w:val="single"/>
            <w:rtl w:val="0"/>
          </w:rPr>
          <w:t xml:space="preserve">1-800-633-4227</w:t>
        </w:r>
      </w:hyperlink>
      <w:r w:rsidDel="00000000" w:rsidR="00000000" w:rsidRPr="00000000">
        <w:rPr>
          <w:sz w:val="24"/>
          <w:szCs w:val="24"/>
          <w:rtl w:val="0"/>
        </w:rPr>
        <w:t xml:space="preserve">) or visit </w:t>
      </w:r>
      <w:hyperlink r:id="rId10">
        <w:r w:rsidDel="00000000" w:rsidR="00000000" w:rsidRPr="00000000">
          <w:rPr>
            <w:b w:val="1"/>
            <w:color w:val="0000ff"/>
            <w:sz w:val="24"/>
            <w:szCs w:val="24"/>
            <w:u w:val="single"/>
            <w:rtl w:val="0"/>
          </w:rPr>
          <w:t xml:space="preserve">https://www.cms.gov/nosurprises</w:t>
        </w:r>
      </w:hyperlink>
      <w:hyperlink r:id="rId11">
        <w:r w:rsidDel="00000000" w:rsidR="00000000" w:rsidRPr="00000000">
          <w:rPr>
            <w:color w:val="0000ff"/>
            <w:sz w:val="24"/>
            <w:szCs w:val="24"/>
            <w:u w:val="single"/>
            <w:rtl w:val="0"/>
          </w:rPr>
          <w:t xml:space="preserve">/</w:t>
        </w:r>
      </w:hyperlink>
      <w:r w:rsidDel="00000000" w:rsidR="00000000" w:rsidRPr="00000000">
        <w:rPr>
          <w:sz w:val="24"/>
          <w:szCs w:val="24"/>
          <w:rtl w:val="0"/>
        </w:rPr>
        <w:t xml:space="preserve"> consumers for more information about your rights under federal law.</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pacing w:line="286" w:lineRule="auto"/>
        <w:ind w:left="219" w:firstLine="0"/>
        <w:rPr>
          <w:sz w:val="24"/>
          <w:szCs w:val="24"/>
        </w:rPr>
      </w:pPr>
      <w:r w:rsidDel="00000000" w:rsidR="00000000" w:rsidRPr="00000000">
        <w:rPr>
          <w:sz w:val="24"/>
          <w:szCs w:val="24"/>
          <w:rtl w:val="0"/>
        </w:rPr>
        <w:t xml:space="preserve">The Florida Department of Financial Services, Division of Consumer Services at 1-877-693 – 5236 (1-877-MY-FL-CFO).</w:t>
      </w:r>
    </w:p>
    <w:p w:rsidR="00000000" w:rsidDel="00000000" w:rsidP="00000000" w:rsidRDefault="00000000" w:rsidRPr="00000000" w14:paraId="0000002C">
      <w:pPr>
        <w:spacing w:line="286" w:lineRule="auto"/>
        <w:ind w:left="219" w:firstLine="0"/>
        <w:rPr>
          <w:i w:val="1"/>
          <w:sz w:val="24"/>
          <w:szCs w:val="24"/>
        </w:rPr>
      </w:pPr>
      <w:r w:rsidDel="00000000" w:rsidR="00000000" w:rsidRPr="00000000">
        <w:rPr>
          <w:rtl w:val="0"/>
        </w:rPr>
      </w:r>
    </w:p>
    <w:p w:rsidR="00000000" w:rsidDel="00000000" w:rsidP="00000000" w:rsidRDefault="00000000" w:rsidRPr="00000000" w14:paraId="0000002D">
      <w:pPr>
        <w:spacing w:line="286" w:lineRule="auto"/>
        <w:ind w:left="219" w:firstLine="0"/>
        <w:rPr>
          <w:sz w:val="24"/>
          <w:szCs w:val="24"/>
        </w:rPr>
      </w:pPr>
      <w:r w:rsidDel="00000000" w:rsidR="00000000" w:rsidRPr="00000000">
        <w:rPr>
          <w:i w:val="1"/>
          <w:sz w:val="24"/>
          <w:szCs w:val="24"/>
          <w:rtl w:val="0"/>
        </w:rPr>
        <w:t xml:space="preserve">The federal phone number for information and complaints is: </w:t>
      </w:r>
      <w:hyperlink r:id="rId12">
        <w:r w:rsidDel="00000000" w:rsidR="00000000" w:rsidRPr="00000000">
          <w:rPr>
            <w:b w:val="1"/>
            <w:i w:val="1"/>
            <w:color w:val="0000ff"/>
            <w:sz w:val="24"/>
            <w:szCs w:val="24"/>
            <w:u w:val="single"/>
            <w:rtl w:val="0"/>
          </w:rPr>
          <w:t xml:space="preserve">1-800-985-3059</w:t>
        </w:r>
      </w:hyperlink>
      <w:r w:rsidDel="00000000" w:rsidR="00000000" w:rsidRPr="00000000">
        <w:rPr>
          <w:sz w:val="24"/>
          <w:szCs w:val="24"/>
          <w:rtl w:val="0"/>
        </w:rPr>
        <w:t xml:space="preserve">.</w:t>
      </w:r>
    </w:p>
    <w:p w:rsidR="00000000" w:rsidDel="00000000" w:rsidP="00000000" w:rsidRDefault="00000000" w:rsidRPr="00000000" w14:paraId="0000002E">
      <w:pPr>
        <w:spacing w:line="286" w:lineRule="auto"/>
        <w:ind w:left="219" w:firstLine="0"/>
        <w:rPr>
          <w:sz w:val="24"/>
          <w:szCs w:val="24"/>
        </w:rPr>
      </w:pPr>
      <w:r w:rsidDel="00000000" w:rsidR="00000000" w:rsidRPr="00000000">
        <w:rPr>
          <w:rtl w:val="0"/>
        </w:rPr>
      </w:r>
    </w:p>
    <w:sectPr>
      <w:type w:val="nextPage"/>
      <w:pgSz w:h="15840" w:w="12240" w:orient="portrait"/>
      <w:pgMar w:bottom="280" w:top="1400" w:left="1220" w:right="12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o"/>
      <w:lvlJc w:val="left"/>
      <w:pPr>
        <w:ind w:left="1388" w:hanging="352.9999999999998"/>
      </w:pPr>
      <w:rPr>
        <w:rFonts w:ascii="Courier New" w:cs="Courier New" w:eastAsia="Courier New" w:hAnsi="Courier New"/>
        <w:b w:val="0"/>
        <w:i w:val="0"/>
        <w:sz w:val="24"/>
        <w:szCs w:val="24"/>
      </w:rPr>
    </w:lvl>
    <w:lvl w:ilvl="1">
      <w:start w:val="0"/>
      <w:numFmt w:val="bullet"/>
      <w:lvlText w:val="•"/>
      <w:lvlJc w:val="left"/>
      <w:pPr>
        <w:ind w:left="2222" w:hanging="353.0000000000002"/>
      </w:pPr>
      <w:rPr/>
    </w:lvl>
    <w:lvl w:ilvl="2">
      <w:start w:val="0"/>
      <w:numFmt w:val="bullet"/>
      <w:lvlText w:val="•"/>
      <w:lvlJc w:val="left"/>
      <w:pPr>
        <w:ind w:left="3064" w:hanging="353.00000000000045"/>
      </w:pPr>
      <w:rPr/>
    </w:lvl>
    <w:lvl w:ilvl="3">
      <w:start w:val="0"/>
      <w:numFmt w:val="bullet"/>
      <w:lvlText w:val="•"/>
      <w:lvlJc w:val="left"/>
      <w:pPr>
        <w:ind w:left="3906" w:hanging="353"/>
      </w:pPr>
      <w:rPr/>
    </w:lvl>
    <w:lvl w:ilvl="4">
      <w:start w:val="0"/>
      <w:numFmt w:val="bullet"/>
      <w:lvlText w:val="•"/>
      <w:lvlJc w:val="left"/>
      <w:pPr>
        <w:ind w:left="4748" w:hanging="353"/>
      </w:pPr>
      <w:rPr/>
    </w:lvl>
    <w:lvl w:ilvl="5">
      <w:start w:val="0"/>
      <w:numFmt w:val="bullet"/>
      <w:lvlText w:val="•"/>
      <w:lvlJc w:val="left"/>
      <w:pPr>
        <w:ind w:left="5590" w:hanging="353"/>
      </w:pPr>
      <w:rPr/>
    </w:lvl>
    <w:lvl w:ilvl="6">
      <w:start w:val="0"/>
      <w:numFmt w:val="bullet"/>
      <w:lvlText w:val="•"/>
      <w:lvlJc w:val="left"/>
      <w:pPr>
        <w:ind w:left="6432" w:hanging="352.9999999999991"/>
      </w:pPr>
      <w:rPr/>
    </w:lvl>
    <w:lvl w:ilvl="7">
      <w:start w:val="0"/>
      <w:numFmt w:val="bullet"/>
      <w:lvlText w:val="•"/>
      <w:lvlJc w:val="left"/>
      <w:pPr>
        <w:ind w:left="7274" w:hanging="353"/>
      </w:pPr>
      <w:rPr/>
    </w:lvl>
    <w:lvl w:ilvl="8">
      <w:start w:val="0"/>
      <w:numFmt w:val="bullet"/>
      <w:lvlText w:val="•"/>
      <w:lvlJc w:val="left"/>
      <w:pPr>
        <w:ind w:left="8116" w:hanging="352.999999999999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9"/>
    </w:pPr>
    <w:rPr>
      <w:b w:val="1"/>
      <w:sz w:val="25"/>
      <w:szCs w:val="25"/>
      <w:u w:val="single"/>
    </w:rPr>
  </w:style>
  <w:style w:type="paragraph" w:styleId="Heading2">
    <w:name w:val="heading 2"/>
    <w:basedOn w:val="Normal"/>
    <w:next w:val="Normal"/>
    <w:pPr>
      <w:ind w:left="219"/>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3" w:lineRule="auto"/>
      <w:ind w:left="572"/>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ms.gov/nosurprises/" TargetMode="External"/><Relationship Id="rId10" Type="http://schemas.openxmlformats.org/officeDocument/2006/relationships/hyperlink" Target="https://www.cms.gov/nosurprises/" TargetMode="External"/><Relationship Id="rId12" Type="http://schemas.openxmlformats.org/officeDocument/2006/relationships/hyperlink" Target="tel:1-800-985-3059" TargetMode="External"/><Relationship Id="rId9" Type="http://schemas.openxmlformats.org/officeDocument/2006/relationships/hyperlink" Target="tel:1-800-633-4227"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